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ve:Ignorable="mv w14 w15 w16se wp14" ve:PreserveAttributes="mv:*">
  <w:body>
    <w:p>
      <w:pPr/>
      <w:r>
        <w:rPr>
          <w:rFonts w:ascii="Arial"/>
          <w:b w:val="0"/>
          <w:i w:val="0"/>
          <w:strike w:val="0"/>
          <w:dstrike w:val="0"/>
          <w:emboss w:val="0"/>
          <w:imprint w:val="0"/>
          <w:outline w:val="0"/>
          <w:shadow w:val="0"/>
          <w:sz w:val="22"/>
          <w:szCs w:val="22"/>
          <w:u w:val="none"/>
        </w:rPr>
        <w:t xml:space="preserve">DC MAMU HAGE CHAIRS THIRD DLMC MEETING AT YUPIA</w:t>
      </w:r>
    </w:p>
    <w:p>
      <w:pPr/>
    </w:p>
    <w:p>
      <w:pPr/>
      <w:r>
        <w:rPr>
          <w:rFonts w:ascii="Arial"/>
          <w:b w:val="0"/>
          <w:i w:val="0"/>
          <w:strike w:val="0"/>
          <w:dstrike w:val="0"/>
          <w:emboss w:val="0"/>
          <w:imprint w:val="0"/>
          <w:outline w:val="0"/>
          <w:shadow w:val="0"/>
          <w:sz w:val="22"/>
          <w:szCs w:val="22"/>
          <w:u w:val="none"/>
        </w:rPr>
        <w:t xml:space="preserve">Yupia, October 16: Deputy Commissioner, Papum Pare, Ms. Mamu Hage, IAS, chaired the third District Level Monitoring Committee (DLMC) meeting at the DC Conference Hall, Yupia, on Friday to review developmental projects, sectoral issues and the implementation of government schemes in the district.</w:t>
      </w:r>
    </w:p>
    <w:p>
      <w:pPr/>
    </w:p>
    <w:p>
      <w:pPr/>
      <w:r>
        <w:rPr>
          <w:rFonts w:ascii="Arial"/>
          <w:b w:val="0"/>
          <w:i w:val="0"/>
          <w:strike w:val="0"/>
          <w:dstrike w:val="0"/>
          <w:emboss w:val="0"/>
          <w:imprint w:val="0"/>
          <w:outline w:val="0"/>
          <w:shadow w:val="0"/>
          <w:sz w:val="22"/>
          <w:szCs w:val="22"/>
          <w:u w:val="none"/>
        </w:rPr>
        <w:t xml:space="preserve">Heads of Departments from Agriculture, Horticulture, Fisheries, Animal Husbandry and Veterinary, Education, Women and Child Development, Health, Sports, Tourism, ARSLM, Land Management, Food and Civil Supplies, Industries, ITI, Forest, Statistics and Rural Development, along with the E-Governance Officer, presented PowerPoint presentations on completed and ongoing projects, highlighting the progress of Centrally Sponsored and State-sponsored schemes and issues requiring intervention.</w:t>
      </w:r>
    </w:p>
    <w:p>
      <w:pPr/>
    </w:p>
    <w:p>
      <w:pPr/>
      <w:r>
        <w:rPr>
          <w:rFonts w:ascii="Arial"/>
          <w:b w:val="0"/>
          <w:i w:val="0"/>
          <w:strike w:val="0"/>
          <w:dstrike w:val="0"/>
          <w:emboss w:val="0"/>
          <w:imprint w:val="0"/>
          <w:outline w:val="0"/>
          <w:shadow w:val="0"/>
          <w:sz w:val="22"/>
          <w:szCs w:val="22"/>
          <w:u w:val="none"/>
        </w:rPr>
        <w:t xml:space="preserve">The Deputy Commissioner informed that DLMC reviews had earlier been conducted with various engineering wings. To ensure a detailed assessment, departments have been grouped to provide adequate time for presenting their programmes, achievements and challenges. She has also been holding one-to-one sessions with individual departments to review progress and address specific issues.</w:t>
      </w:r>
    </w:p>
    <w:p>
      <w:pPr/>
    </w:p>
    <w:p>
      <w:pPr/>
      <w:r>
        <w:rPr>
          <w:rFonts w:ascii="Arial"/>
          <w:b w:val="0"/>
          <w:i w:val="0"/>
          <w:strike w:val="0"/>
          <w:dstrike w:val="0"/>
          <w:emboss w:val="0"/>
          <w:imprint w:val="0"/>
          <w:outline w:val="0"/>
          <w:shadow w:val="0"/>
          <w:sz w:val="22"/>
          <w:szCs w:val="22"/>
          <w:u w:val="none"/>
        </w:rPr>
        <w:t xml:space="preserve">Ms. Hage emphasised time-bound project implementation, accountability and regular field-level monitoring. She urged the Heads of Departments to identify bottlenecks, strengthen inter-departmental coordination and ensure that government schemes deliver tangible benefits to the intended beneficiaries, particularly in remote areas.</w:t>
      </w:r>
    </w:p>
    <w:p>
      <w:pPr/>
    </w:p>
    <w:p>
      <w:pPr/>
      <w:r>
        <w:rPr>
          <w:rFonts w:ascii="Arial"/>
          <w:b w:val="0"/>
          <w:i w:val="0"/>
          <w:strike w:val="0"/>
          <w:dstrike w:val="0"/>
          <w:emboss w:val="0"/>
          <w:imprint w:val="0"/>
          <w:outline w:val="0"/>
          <w:shadow w:val="0"/>
          <w:sz w:val="22"/>
          <w:szCs w:val="22"/>
          <w:u w:val="none"/>
        </w:rPr>
        <w:t xml:space="preserve">She further advised departments to maintain accurate progress records, ensure proper utilisation of funds and promptly bring unresolved issues to the notice of the district administration for timely intervention.</w:t>
      </w:r>
    </w:p>
    <w:p>
      <w:pPr/>
    </w:p>
    <w:p>
      <w:pPr/>
    </w:p>
    <w:sectPr>
      <w:pgSz w:w="11909" w:h="16834"/>
      <w:pgMar w:top="1440" w:right="1440" w:bottom="1440" w:lef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rackRevisions w:val="fals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